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淮安市体育局关于2025年市属公共体育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场馆免费或低收费开放方案的公示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为了实现体育服务最大化，促进全民健身蓬勃发展，将惠民政策落到实处，根据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财政部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体育总局《关于印发&lt;公共体育场馆向社会免费或低收费开放补助资金管理办法&gt;的通知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》（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u w:val="none" w:color="auto"/>
          <w:lang w:eastAsia="zh-CN"/>
        </w:rPr>
        <w:t>财教</w:t>
      </w:r>
      <w:r>
        <w:rPr>
          <w:rStyle w:val="6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〔2022〕2号）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《江苏省体育事业发展专项资金（大型体育场馆免费或低收费开放）项目实施细则》（苏体规</w:t>
      </w:r>
      <w:r>
        <w:rPr>
          <w:rStyle w:val="6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〔2022〕3号）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和《公共体育场馆基本公共服务规范》要求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，现将202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淮安市体育馆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淮安市体育中心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、淮安市游泳馆、淮安市全民健身中心等四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个市属公共体育场馆免费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低收费开放方案向社会公示。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如有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相关开放事宜需要咨询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可与相关单位联系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淮安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市体育局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0517-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83605822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淮安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市体育馆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0517-</w:t>
      </w:r>
      <w:r>
        <w:rPr>
          <w:rFonts w:hint="eastAsia" w:ascii="仿宋_GB2312" w:hAnsi="仿宋_GB2312" w:eastAsia="仿宋_GB2312" w:cs="仿宋_GB2312"/>
          <w:sz w:val="32"/>
          <w:szCs w:val="32"/>
        </w:rPr>
        <w:t>83932626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淮安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市体育中心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0517-89892355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淮安市游泳馆：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0517-83182600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淮安市全民健身中心：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0517-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83182999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附件：1.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"http://tyj.huaian.gov.cn/upload/2020-06/ed2c5692-5c2d-4e6c-aa5d-0938dbb6bb51.docx" \o "淮安市体育馆2020年开放工作方案.docx" \t "http://www.huaian.gov.cn/col/9283_142278/art/202006/_self"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淮安市体育馆202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年开放工作方案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60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"http://tyj.huaian.gov.cn/upload/2020-06/3f3b1f05-6543-4f3f-9c8b-ecdd1100f5b0.docx" \o "淮安市体育中心2020年开放工作方案.docx" \t "http://www.huaian.gov.cn/col/9283_142278/art/202006/_self"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淮安市体育中心202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年开放工作方案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60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3.淮安市游泳馆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年开放工作方案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60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4.淮安市全民健身中心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年开放工作方案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淮安市体育局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2025年2月10日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line="560" w:lineRule="exact"/>
        <w:ind w:left="5060" w:hanging="5060" w:hangingChars="11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淮安市体育馆</w:t>
      </w:r>
    </w:p>
    <w:p>
      <w:pPr>
        <w:spacing w:line="560" w:lineRule="exact"/>
        <w:ind w:left="5060" w:hanging="5060" w:hangingChars="11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年免费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低收费开放方案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一、淮安市体育馆简介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淮安市体育馆建于1986年，上级主管部门为淮安市体育局，总投资为1647万元人民币，占地面积8065平米，其中室外场地面积5202平米，建筑面积2863平米，室内面积1054平米。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0517-</w:t>
      </w:r>
      <w:r>
        <w:rPr>
          <w:rFonts w:hint="eastAsia" w:ascii="仿宋_GB2312" w:hAnsi="仿宋_GB2312" w:eastAsia="仿宋_GB2312" w:cs="仿宋_GB2312"/>
          <w:sz w:val="32"/>
          <w:szCs w:val="32"/>
        </w:rPr>
        <w:t>83932626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二、免费低收费开放项目、开放时间及收费标准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（一）开放项目和场地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ind w:left="2760" w:leftChars="400" w:hanging="1920" w:hanging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室内综合馆开放项目：羽毛球、毽球</w:t>
      </w:r>
    </w:p>
    <w:p>
      <w:pPr>
        <w:spacing w:line="560" w:lineRule="exact"/>
        <w:ind w:left="4360" w:leftChars="400" w:hanging="3520" w:hanging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室外健身广场开放项目：广场舞、轮滑、武术、健身气功等。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（二）免费或低收费开放时间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羽毛球、毽球</w:t>
      </w: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周一至周日： 上午：7:00—22:00  (免费或低收费开放)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室外健身广场：广场舞、轮滑、武术、健身气功等全天开放</w:t>
      </w:r>
    </w:p>
    <w:p>
      <w:pPr>
        <w:spacing w:line="560" w:lineRule="exact"/>
        <w:ind w:firstLine="800" w:firstLineChars="25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备注：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每年元旦、春节、劳动节、全民健身日和国庆节等法定节假日免费对外开放时长不低于8小时。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每年全民健身日、老年节对全体老年人有序免费开放，其他时间需要收费的，老年人享受不低于50%的优惠（老年人入馆健身须家人陪同）；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对残疾人、现役军人、消防救援人员（须持相关证件）免费开放。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（三）收费标准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详见附件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三、计划举办体育赛事、体育活动、体育培训情况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一月：毽球交流赛、篮球培训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二月：足球培训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三月：广场舞培训、掼蛋比赛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四月：五人制足球培训、国民体质测试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五月：广场舞大赛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六月：淮安市老年体协系列比赛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七月：青少年篮球之星训练营、社会体育指导员培训班</w:t>
      </w:r>
    </w:p>
    <w:p>
      <w:pPr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八月：青少年篮球之星训练营、国民体质测试、跆拳道汇报表演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九月：毽球比赛、篮球培训常训班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十月：健身气功交流赛、掼蛋公开赛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十一月：羽毛球比赛、国民体质测试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十二月：广场舞比赛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全年开展青少年体能素质、篮球、围棋、五人制足球等培训。不定期举行免费国民体质测试。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四、群众参加体育赛事和体育活动、接受体育培训、进行日常健身服务情况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（一）室内综合馆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淮安市体育馆2025年计划接待来馆锻炼、活动人员不低于7万人次、月均接待不低于6000人次、日均接待不低于168人次。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（二）室外健身广场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淮安市市民健身广场2025年计划接待锻炼、活动人员不低于8万人次、月均接待不低于6700人次、日均接待不低于230人次。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五、成本支出情况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2025年场馆开放成本支出预计最低为310万元，其中水电气热能耗支出最低为15万元。</w:t>
      </w:r>
    </w:p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560" w:lineRule="exact"/>
        <w:ind w:left="5060" w:hanging="5060" w:hangingChars="11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淮安市体育中心</w:t>
      </w:r>
    </w:p>
    <w:p>
      <w:pPr>
        <w:spacing w:line="560" w:lineRule="exact"/>
        <w:ind w:left="5060" w:hanging="5060" w:hangingChars="11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年免费或低收费开放方案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淮安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体育中心全面贯彻落实《关于加强大型体育场馆运营管理改革创新、提高公共服务水平的意见》《关于推进大型体育场馆免费低收费开放的通知》等精神，结合《江苏体育发展“十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五”规划》的具体要求，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参照《省体育局关于加强公共体育场馆信息化建设的通知》工作要求，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进一步推动全民健身活动广泛开展，丰富人民体育文化生活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，体育行业智慧化运营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。为满足广大市民健身需求，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制定淮安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体育中心健身场地免费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低收费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一、淮安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市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体育中心开放内容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6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1.日常免费开放具体时间和内容</w:t>
      </w:r>
    </w:p>
    <w:tbl>
      <w:tblPr>
        <w:tblStyle w:val="3"/>
        <w:tblW w:w="10059" w:type="dxa"/>
        <w:tblCellSpacing w:w="0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2021"/>
        <w:gridCol w:w="2813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260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开放场地</w:t>
            </w:r>
          </w:p>
        </w:tc>
        <w:tc>
          <w:tcPr>
            <w:tcW w:w="202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开放项目</w:t>
            </w:r>
          </w:p>
        </w:tc>
        <w:tc>
          <w:tcPr>
            <w:tcW w:w="281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开放时间</w:t>
            </w:r>
          </w:p>
        </w:tc>
        <w:tc>
          <w:tcPr>
            <w:tcW w:w="2624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tblCellSpacing w:w="0" w:type="dxa"/>
        </w:trPr>
        <w:tc>
          <w:tcPr>
            <w:tcW w:w="2601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体育馆</w:t>
            </w:r>
          </w:p>
        </w:tc>
        <w:tc>
          <w:tcPr>
            <w:tcW w:w="202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羽毛球</w:t>
            </w:r>
          </w:p>
        </w:tc>
        <w:tc>
          <w:tcPr>
            <w:tcW w:w="2813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9:00-11:00</w:t>
            </w:r>
          </w:p>
        </w:tc>
        <w:tc>
          <w:tcPr>
            <w:tcW w:w="2624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室内篮球、笼式足球需要提前预定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CellSpacing w:w="0" w:type="dxa"/>
        </w:trPr>
        <w:tc>
          <w:tcPr>
            <w:tcW w:w="260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室内篮球</w:t>
            </w:r>
          </w:p>
        </w:tc>
        <w:tc>
          <w:tcPr>
            <w:tcW w:w="2813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24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tblCellSpacing w:w="0" w:type="dxa"/>
        </w:trPr>
        <w:tc>
          <w:tcPr>
            <w:tcW w:w="260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乒乓球</w:t>
            </w:r>
          </w:p>
        </w:tc>
        <w:tc>
          <w:tcPr>
            <w:tcW w:w="2813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24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tblCellSpacing w:w="0" w:type="dxa"/>
        </w:trPr>
        <w:tc>
          <w:tcPr>
            <w:tcW w:w="260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笼式足球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4号场地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1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9:00-11:00</w:t>
            </w:r>
          </w:p>
        </w:tc>
        <w:tc>
          <w:tcPr>
            <w:tcW w:w="2624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tblCellSpacing w:w="0" w:type="dxa"/>
        </w:trPr>
        <w:tc>
          <w:tcPr>
            <w:tcW w:w="2601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体育场</w:t>
            </w:r>
          </w:p>
        </w:tc>
        <w:tc>
          <w:tcPr>
            <w:tcW w:w="202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田径场</w:t>
            </w:r>
          </w:p>
        </w:tc>
        <w:tc>
          <w:tcPr>
            <w:tcW w:w="281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全年7:00-18:00</w:t>
            </w:r>
          </w:p>
        </w:tc>
        <w:tc>
          <w:tcPr>
            <w:tcW w:w="2624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CellSpacing w:w="0" w:type="dxa"/>
        </w:trPr>
        <w:tc>
          <w:tcPr>
            <w:tcW w:w="260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儿童乐园</w:t>
            </w:r>
          </w:p>
        </w:tc>
        <w:tc>
          <w:tcPr>
            <w:tcW w:w="2813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全年6:00-21:00</w:t>
            </w:r>
          </w:p>
        </w:tc>
        <w:tc>
          <w:tcPr>
            <w:tcW w:w="2624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CellSpacing w:w="0" w:type="dxa"/>
        </w:trPr>
        <w:tc>
          <w:tcPr>
            <w:tcW w:w="260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2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成人健身</w:t>
            </w:r>
          </w:p>
        </w:tc>
        <w:tc>
          <w:tcPr>
            <w:tcW w:w="2813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24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tblCellSpacing w:w="0" w:type="dxa"/>
        </w:trPr>
        <w:tc>
          <w:tcPr>
            <w:tcW w:w="2601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2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篮球公园</w:t>
            </w:r>
          </w:p>
        </w:tc>
        <w:tc>
          <w:tcPr>
            <w:tcW w:w="2813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24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节假日免费开放具体时间和内容</w:t>
      </w:r>
    </w:p>
    <w:tbl>
      <w:tblPr>
        <w:tblStyle w:val="3"/>
        <w:tblpPr w:leftFromText="180" w:rightFromText="180" w:vertAnchor="text" w:horzAnchor="page" w:tblpX="1273" w:tblpY="43"/>
        <w:tblOverlap w:val="never"/>
        <w:tblW w:w="10365" w:type="dxa"/>
        <w:tblCellSpacing w:w="0" w:type="dxa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510"/>
        <w:gridCol w:w="1770"/>
        <w:gridCol w:w="1796"/>
        <w:gridCol w:w="1817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5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开放场地</w:t>
            </w:r>
          </w:p>
        </w:tc>
        <w:tc>
          <w:tcPr>
            <w:tcW w:w="1510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开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放项目</w:t>
            </w:r>
          </w:p>
        </w:tc>
        <w:tc>
          <w:tcPr>
            <w:tcW w:w="5383" w:type="dxa"/>
            <w:gridSpan w:val="3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开放时间</w:t>
            </w:r>
          </w:p>
        </w:tc>
        <w:tc>
          <w:tcPr>
            <w:tcW w:w="2367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105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法定节假日</w:t>
            </w:r>
          </w:p>
        </w:tc>
        <w:tc>
          <w:tcPr>
            <w:tcW w:w="1796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重阳节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（老人节）</w:t>
            </w:r>
          </w:p>
        </w:tc>
        <w:tc>
          <w:tcPr>
            <w:tcW w:w="1817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8月8日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全民健身日</w:t>
            </w: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tblCellSpacing w:w="0" w:type="dxa"/>
        </w:trPr>
        <w:tc>
          <w:tcPr>
            <w:tcW w:w="1105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体育馆</w:t>
            </w: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羽毛球</w:t>
            </w:r>
          </w:p>
        </w:tc>
        <w:tc>
          <w:tcPr>
            <w:tcW w:w="1770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9:00-17: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免费开放</w:t>
            </w:r>
          </w:p>
        </w:tc>
        <w:tc>
          <w:tcPr>
            <w:tcW w:w="1796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9:00-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对老年人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免费开放</w:t>
            </w:r>
          </w:p>
        </w:tc>
        <w:tc>
          <w:tcPr>
            <w:tcW w:w="1817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9:00-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免费开放</w:t>
            </w:r>
          </w:p>
        </w:tc>
        <w:tc>
          <w:tcPr>
            <w:tcW w:w="2367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游泳馆开放期间，每天闭馆前半小时清场。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入馆需提前做好登记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.室内篮球、笼式足球需要提前预定。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微软雅黑" w:hAnsi="微软雅黑" w:eastAsia="微软雅黑" w:cs="微软雅黑"/>
                <w:color w:val="555555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tblCellSpacing w:w="0" w:type="dxa"/>
        </w:trPr>
        <w:tc>
          <w:tcPr>
            <w:tcW w:w="1105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室内篮球</w:t>
            </w:r>
          </w:p>
        </w:tc>
        <w:tc>
          <w:tcPr>
            <w:tcW w:w="1770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6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tblCellSpacing w:w="0" w:type="dxa"/>
        </w:trPr>
        <w:tc>
          <w:tcPr>
            <w:tcW w:w="1105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乒乓球</w:t>
            </w:r>
          </w:p>
        </w:tc>
        <w:tc>
          <w:tcPr>
            <w:tcW w:w="1770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6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</w:trPr>
        <w:tc>
          <w:tcPr>
            <w:tcW w:w="1105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笼式足球</w:t>
            </w:r>
          </w:p>
        </w:tc>
        <w:tc>
          <w:tcPr>
            <w:tcW w:w="1770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96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105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游泳馆</w:t>
            </w: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游泳</w:t>
            </w:r>
          </w:p>
        </w:tc>
        <w:tc>
          <w:tcPr>
            <w:tcW w:w="177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13:00-21:00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免费开放</w:t>
            </w:r>
          </w:p>
        </w:tc>
        <w:tc>
          <w:tcPr>
            <w:tcW w:w="1796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:00-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对老年人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免费开放</w:t>
            </w:r>
          </w:p>
        </w:tc>
        <w:tc>
          <w:tcPr>
            <w:tcW w:w="1817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13:00-21:00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免费开放</w:t>
            </w: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tblCellSpacing w:w="0" w:type="dxa"/>
        </w:trPr>
        <w:tc>
          <w:tcPr>
            <w:tcW w:w="1105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体育场</w:t>
            </w: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田径场</w:t>
            </w:r>
          </w:p>
        </w:tc>
        <w:tc>
          <w:tcPr>
            <w:tcW w:w="5383" w:type="dxa"/>
            <w:gridSpan w:val="3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全年7:00-18:00</w:t>
            </w: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0" w:type="dxa"/>
        </w:trPr>
        <w:tc>
          <w:tcPr>
            <w:tcW w:w="1105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儿童乐园</w:t>
            </w:r>
          </w:p>
        </w:tc>
        <w:tc>
          <w:tcPr>
            <w:tcW w:w="5383" w:type="dxa"/>
            <w:gridSpan w:val="3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全年6:00-21:00</w:t>
            </w: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0" w:type="dxa"/>
        </w:trPr>
        <w:tc>
          <w:tcPr>
            <w:tcW w:w="1105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成人健身</w:t>
            </w:r>
          </w:p>
        </w:tc>
        <w:tc>
          <w:tcPr>
            <w:tcW w:w="5383" w:type="dxa"/>
            <w:gridSpan w:val="3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tblCellSpacing w:w="0" w:type="dxa"/>
        </w:trPr>
        <w:tc>
          <w:tcPr>
            <w:tcW w:w="1105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151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篮球公园</w:t>
            </w:r>
          </w:p>
        </w:tc>
        <w:tc>
          <w:tcPr>
            <w:tcW w:w="5383" w:type="dxa"/>
            <w:gridSpan w:val="3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2367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春节免费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或低收费开放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，开放时间以场馆公告为准。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2.游泳馆高峰期根据泳池实时情况，动态调整人数上限。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0" w:right="0" w:rightChars="0" w:firstLine="640" w:firstLineChars="200"/>
        <w:rPr>
          <w:rFonts w:hint="eastAsia" w:ascii="微软雅黑" w:hAnsi="微软雅黑" w:eastAsia="微软雅黑" w:cs="微软雅黑"/>
          <w:color w:val="55555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低收费项目具体开放时间和内容</w:t>
      </w:r>
      <w:r>
        <w:rPr>
          <w:rFonts w:hint="eastAsia" w:ascii="微软雅黑" w:hAnsi="微软雅黑" w:eastAsia="微软雅黑" w:cs="微软雅黑"/>
          <w:color w:val="555555"/>
          <w:sz w:val="28"/>
          <w:szCs w:val="28"/>
        </w:rPr>
        <w:t>　　　</w:t>
      </w:r>
    </w:p>
    <w:tbl>
      <w:tblPr>
        <w:tblStyle w:val="3"/>
        <w:tblpPr w:leftFromText="180" w:rightFromText="180" w:vertAnchor="text" w:horzAnchor="page" w:tblpX="1192" w:tblpY="168"/>
        <w:tblOverlap w:val="never"/>
        <w:tblW w:w="1084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58"/>
        <w:gridCol w:w="1470"/>
        <w:gridCol w:w="1290"/>
        <w:gridCol w:w="1890"/>
        <w:gridCol w:w="169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422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开放场地</w:t>
            </w:r>
          </w:p>
        </w:tc>
        <w:tc>
          <w:tcPr>
            <w:tcW w:w="1358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开放项目</w:t>
            </w:r>
          </w:p>
        </w:tc>
        <w:tc>
          <w:tcPr>
            <w:tcW w:w="2760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时段</w:t>
            </w:r>
          </w:p>
        </w:tc>
        <w:tc>
          <w:tcPr>
            <w:tcW w:w="18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门市价</w:t>
            </w:r>
          </w:p>
        </w:tc>
        <w:tc>
          <w:tcPr>
            <w:tcW w:w="3410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低收费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422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体育馆</w:t>
            </w:r>
          </w:p>
        </w:tc>
        <w:tc>
          <w:tcPr>
            <w:tcW w:w="1358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羽毛球</w:t>
            </w:r>
          </w:p>
        </w:tc>
        <w:tc>
          <w:tcPr>
            <w:tcW w:w="1470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11:00-1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周六、周日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9:00-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3410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tblCellSpacing w:w="0" w:type="dxa"/>
        </w:trPr>
        <w:tc>
          <w:tcPr>
            <w:tcW w:w="1422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58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室内篮球</w:t>
            </w:r>
          </w:p>
        </w:tc>
        <w:tc>
          <w:tcPr>
            <w:tcW w:w="1470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300元/两时/半场</w:t>
            </w:r>
          </w:p>
        </w:tc>
        <w:tc>
          <w:tcPr>
            <w:tcW w:w="3410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120元/两时/半场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tblCellSpacing w:w="0" w:type="dxa"/>
        </w:trPr>
        <w:tc>
          <w:tcPr>
            <w:tcW w:w="1422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58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乒乓球</w:t>
            </w:r>
          </w:p>
        </w:tc>
        <w:tc>
          <w:tcPr>
            <w:tcW w:w="1470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3410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422" w:type="dxa"/>
            <w:vMerge w:val="continue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58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笼式足球</w:t>
            </w:r>
          </w:p>
        </w:tc>
        <w:tc>
          <w:tcPr>
            <w:tcW w:w="147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3、4号场地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:00-1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其余场地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11:00-17:00</w:t>
            </w:r>
          </w:p>
        </w:tc>
        <w:tc>
          <w:tcPr>
            <w:tcW w:w="12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周六、周日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9:00-1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:00</w:t>
            </w:r>
          </w:p>
        </w:tc>
        <w:tc>
          <w:tcPr>
            <w:tcW w:w="18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元/两时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/场</w:t>
            </w:r>
          </w:p>
        </w:tc>
        <w:tc>
          <w:tcPr>
            <w:tcW w:w="3410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元/两时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422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游泳馆</w:t>
            </w:r>
          </w:p>
        </w:tc>
        <w:tc>
          <w:tcPr>
            <w:tcW w:w="1358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游泳</w:t>
            </w:r>
          </w:p>
        </w:tc>
        <w:tc>
          <w:tcPr>
            <w:tcW w:w="2760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周一至周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13:00-21:00</w:t>
            </w:r>
          </w:p>
        </w:tc>
        <w:tc>
          <w:tcPr>
            <w:tcW w:w="18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儿童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元/人</w:t>
            </w:r>
          </w:p>
        </w:tc>
        <w:tc>
          <w:tcPr>
            <w:tcW w:w="169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儿童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老年人22元/人</w:t>
            </w:r>
          </w:p>
        </w:tc>
        <w:tc>
          <w:tcPr>
            <w:tcW w:w="1719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周六至周日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儿童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元/人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老年人22元/人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预约方式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1.各场馆前台预约、咨询电话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游泳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 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0517-89002615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羽毛球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 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0517-89892370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室内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篮球预约电话： 0517-89892370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笼式足球预约电话： 0517-89892370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乒乓球预约电话： 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0517-89892370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2.线上预订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firstLine="320" w:firstLineChars="100"/>
        <w:rPr>
          <w:rFonts w:hint="default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线上预订-支付宝app-运动码小程序-美团app-抖音app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eastAsia" w:ascii="微软雅黑" w:hAnsi="微软雅黑" w:eastAsia="微软雅黑" w:cs="微软雅黑"/>
          <w:color w:val="555555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三、预定规则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1.篮球半场限定8人以内，足球每片场地限定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人以内，每人每天限订一片场地，场地订满即止。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2.预订时，须提供姓名、电话号码。需按预订时间到场，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续时续费需提前至前台办理，包时结束后准时退场。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3.免费低收费场地只用于公益体育健身服务，不得在预定场地上进行营销性质的培训、举办赛事和人员聚集的群体活动，一旦发现，场馆工作人员有权制止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如需取消预订场地请至少提前半小时联系前台工作人员，提前不足半小时取消的全额收取占场费用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四、特殊人群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体育馆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对持证的学生、军人、消防救援人员，实行半价优惠，不能与其他优惠同时使用。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2.游泳馆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对持证的学生、军人、消防救援人员、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老年人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，实行半价优惠，不能与其他优惠同时使用。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.残疾人（持残疾证）免费。残疾老年人需提供一年内三级甲等医院出具的体检报告，体检报告中必须涵盖心血管及心脑血管系统检查结果。残疾人入场需家人陪同，签订入馆协议。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4.体育馆老年人免费，老年人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三月内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三级甲等医院的体检报告，体检报告中必须涵盖心血管及心脑血管系统检查结果。签订入馆协议。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游泳馆老年人半价优惠，60周岁及以上老年人购买优待卡，凭本人有效身份证，由本人及家属签订免责协议，提供一年内三级甲等医院出具的健康体检报告，体检报告中必须涵盖心血管及心脑血管系统检查结果，如：血压、血糖、血脂、血常规、心电图等内容。70-79周岁老年人</w:t>
      </w:r>
      <w:bookmarkStart w:id="0" w:name="_Hlk185492514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入场，须本人签订安全承诺书，建议由健康的、有陪护能力的成年人陪护入场。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80周岁及以上老年人入场，须本人及家属签订安全承诺书，由健康的、有陪护能力的成年人陪护入场。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right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spacing w:line="560" w:lineRule="exact"/>
        <w:ind w:left="5060" w:hanging="5060" w:hangingChars="11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淮安市游泳馆</w:t>
      </w:r>
    </w:p>
    <w:p>
      <w:pPr>
        <w:spacing w:line="560" w:lineRule="exact"/>
        <w:ind w:left="5060" w:hanging="5060" w:hangingChars="11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年免费或低收费开放方案</w:t>
      </w:r>
    </w:p>
    <w:p>
      <w:pPr>
        <w:spacing w:line="520" w:lineRule="exact"/>
        <w:ind w:firstLine="642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一、淮安市游泳馆简介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淮安市游泳馆建于1988年，投资总额为1808万元，用地面积3780平方米，建筑面积2560平方米，室内场地面积1251平方米。馆全新改造，恒温泳池。设有25米标准短池和儿童培训池各二个。羽毛球场地6片，气排球场地2片。游泳馆水处理系统、池水加温、消毒系统、救生设备、器材齐全，水质、水温均达到国家标准，</w:t>
      </w:r>
      <w:r>
        <w:rPr>
          <w:rFonts w:hint="eastAsia" w:ascii="仿宋" w:hAnsi="仿宋" w:eastAsia="仿宋" w:cs="Times New Roman"/>
          <w:sz w:val="32"/>
          <w:szCs w:val="32"/>
        </w:rPr>
        <w:t>联系电话：0517-83182600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二、免费或低收费开放项目、开放时间及收费标准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（一）开放项目和场地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1、游泳健身及各年龄段的游泳培训。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2、羽毛球培训和气排球健身。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（二）开放时间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1、开放时间</w:t>
      </w:r>
    </w:p>
    <w:p>
      <w:pPr>
        <w:spacing w:line="520" w:lineRule="exact"/>
        <w:ind w:left="638" w:leftChars="30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上午9:30-11:30 游泳培训    </w:t>
      </w:r>
    </w:p>
    <w:p>
      <w:pPr>
        <w:spacing w:line="520" w:lineRule="exact"/>
        <w:ind w:left="638" w:leftChars="30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下午13:00-21:00（夏冬季调整见公告）   </w:t>
      </w:r>
    </w:p>
    <w:p>
      <w:pPr>
        <w:spacing w:line="520" w:lineRule="exact"/>
        <w:ind w:left="638" w:leftChars="30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羽毛球和气排球健身（提前预约）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2、元旦节、清明节、劳动节、端午节、国庆节、中秋节等法定节日，游泳13:00-15:00正常营业时间段内实行免费,其它时间段低收费开放；8月8日国家全民健身日全天免费开放; “老年节”对60周岁以上老年人全天免费开放；对中小学生集体游泳课9：30-11：30、14：00-16：30实行低收费。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3、对老年人（60周岁以上）、学生、军人、消防救援人员等特殊职业群体，收费标准一般不超过半价。对残疾人凭有效证件或相关证明实行全天免费。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hint="eastAsia" w:ascii="仿宋" w:hAnsi="仿宋" w:eastAsia="仿宋" w:cs="Times New Roman"/>
          <w:sz w:val="32"/>
          <w:szCs w:val="32"/>
        </w:rPr>
        <w:t>在经营期间对特定的团体和特殊群体进行预约低免费开放（维修期和停水、电、汽除外）。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（三）收费标准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1、按照低收费价格一般不高于市场价格的70%执行；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2、免费或低收费按开放方案执行，详见门店价格公告及我馆微信公众号。</w:t>
      </w:r>
    </w:p>
    <w:p>
      <w:pPr>
        <w:spacing w:line="52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三、举办体育赛事、体育活动、体育培训</w:t>
      </w:r>
    </w:p>
    <w:p>
      <w:pPr>
        <w:tabs>
          <w:tab w:val="left" w:pos="7170"/>
        </w:tabs>
        <w:spacing w:line="52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举办公益性体育赛事活动不少于4场次，公益性体育讲座、展览、及文化活动不少于4场次，受不可抗力因素影响除外。</w:t>
      </w:r>
    </w:p>
    <w:p>
      <w:pPr>
        <w:spacing w:line="52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四、指导群众参加体育赛事和体育活动、接受体育培训、进行日常健身服务</w:t>
      </w:r>
    </w:p>
    <w:p>
      <w:pPr>
        <w:tabs>
          <w:tab w:val="left" w:pos="7170"/>
        </w:tabs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（一）室内体育场地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游泳馆计划全年接待不低于</w:t>
      </w:r>
      <w:r>
        <w:rPr>
          <w:rFonts w:hint="eastAsia" w:ascii="仿宋" w:hAnsi="仿宋" w:eastAsia="仿宋"/>
          <w:sz w:val="32"/>
          <w:szCs w:val="32"/>
        </w:rPr>
        <w:t xml:space="preserve"> 100000 人次，月均接待不低于8000人次，全年指导群众游泳技能培训和开展知识讲座不低于1000人次。</w:t>
      </w:r>
    </w:p>
    <w:p>
      <w:pPr>
        <w:tabs>
          <w:tab w:val="left" w:pos="7170"/>
        </w:tabs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（二）室外体育场地</w:t>
      </w:r>
    </w:p>
    <w:p>
      <w:pPr>
        <w:tabs>
          <w:tab w:val="left" w:pos="7170"/>
        </w:tabs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无室外体育场地。</w:t>
      </w:r>
    </w:p>
    <w:p>
      <w:pPr>
        <w:spacing w:line="52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五、为群众身边的体育组织服务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2025年，积极为游泳协会、其他体育协会组织以及各工会组织免费或低收费提供活动场所,不低于1000人次。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spacing w:line="560" w:lineRule="exact"/>
        <w:ind w:left="5060" w:hanging="5060" w:hangingChars="11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全民健身中心</w:t>
      </w:r>
    </w:p>
    <w:p>
      <w:pPr>
        <w:spacing w:line="560" w:lineRule="exact"/>
        <w:ind w:left="5060" w:hanging="5060" w:hangingChars="11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年免费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低收费开放方案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淮安市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全民健身中心</w:t>
      </w:r>
      <w:r>
        <w:rPr>
          <w:rFonts w:hint="eastAsia" w:ascii="黑体" w:hAnsi="黑体" w:eastAsia="黑体"/>
          <w:sz w:val="32"/>
          <w:szCs w:val="32"/>
        </w:rPr>
        <w:t>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淮安市全民健身中心成立于2008年11月，为市体育局下属正科级建制事业单位，是集运动、休闲、健身锻炼、培养运动人才的综合性场所，2009年被国家体育总局命名为“国家级全民健身中心”。现对外开放羽毛球、乒乓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气排球</w:t>
      </w:r>
      <w:r>
        <w:rPr>
          <w:rFonts w:hint="eastAsia" w:ascii="仿宋" w:hAnsi="仿宋" w:eastAsia="仿宋" w:cs="仿宋"/>
          <w:sz w:val="32"/>
          <w:szCs w:val="32"/>
        </w:rPr>
        <w:t>等项目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总面积22856平米，其中地上建筑面积18780平米，地下室建筑面积4076平米，整栋建筑分为五层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0517-83182999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二、免费低收费开放项目、开放时间及收费标准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（一）开放项目和场地</w:t>
      </w:r>
    </w:p>
    <w:p>
      <w:pPr>
        <w:spacing w:line="560" w:lineRule="exact"/>
        <w:ind w:left="4040" w:leftChars="400" w:hanging="3200" w:hangingChars="10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室内公共区域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乒乓球馆、羽毛球馆、</w:t>
      </w:r>
    </w:p>
    <w:p>
      <w:pPr>
        <w:spacing w:line="560" w:lineRule="exact"/>
        <w:ind w:left="4034" w:leftChars="1464" w:hanging="960" w:hangingChars="3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篮球馆、气排球馆</w:t>
      </w:r>
    </w:p>
    <w:p>
      <w:pPr>
        <w:spacing w:line="560" w:lineRule="exact"/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户外公共区域：广场舞、轮滑、武术、</w:t>
      </w:r>
    </w:p>
    <w:p>
      <w:pPr>
        <w:spacing w:line="4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健身气功全天免费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（二）免费或低收费开放时间</w:t>
      </w:r>
    </w:p>
    <w:p>
      <w:pPr>
        <w:spacing w:line="560" w:lineRule="exact"/>
        <w:ind w:left="4040" w:leftChars="400" w:hanging="3200" w:hanging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乒乓球馆、羽毛球、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广场舞</w:t>
      </w:r>
    </w:p>
    <w:p>
      <w:pPr>
        <w:spacing w:line="560" w:lineRule="exact"/>
        <w:ind w:left="5438" w:leftChars="456" w:hanging="4480" w:hanging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免费开放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周一至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周五：</w:t>
      </w:r>
    </w:p>
    <w:p>
      <w:pPr>
        <w:spacing w:line="560" w:lineRule="exact"/>
        <w:ind w:left="5438" w:leftChars="456" w:hanging="4480" w:hanging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:00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低收费开放时间：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周一至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周日：</w:t>
      </w: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下午：1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:00—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:00</w:t>
      </w:r>
    </w:p>
    <w:p>
      <w:pPr>
        <w:spacing w:line="560" w:lineRule="exact"/>
        <w:ind w:firstLine="800" w:firstLineChars="25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备注：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1、每年元旦、春节、劳动节、全民健身日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重阳节</w:t>
      </w:r>
      <w:r>
        <w:rPr>
          <w:rFonts w:hint="eastAsia" w:ascii="仿宋_GB2312" w:hAnsi="仿宋_GB2312" w:eastAsia="仿宋_GB2312" w:cs="仿宋_GB2312"/>
          <w:sz w:val="32"/>
          <w:szCs w:val="32"/>
        </w:rPr>
        <w:t>和国庆节等法定节假日均免费对外开放。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2、老年人、残疾人、学生、军人、消防救援人员和公益性群众体育赛事活动免费。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（三）收费标准</w:t>
      </w:r>
    </w:p>
    <w:p>
      <w:pPr>
        <w:spacing w:line="240" w:lineRule="auto"/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43195" cy="4032250"/>
            <wp:effectExtent l="0" t="0" r="14605" b="6350"/>
            <wp:docPr id="1" name="图片 1" descr="低免开放公示牌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低免开放公示牌2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三、计划举办体育赛事、体育活动、体育培训情况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羽毛球、跆拳道、自由搏击寒假班培训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体育舞蹈、羽毛球、中考体能等培训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乓乓球赛事活动、体适能活动，</w:t>
      </w:r>
    </w:p>
    <w:p>
      <w:pPr>
        <w:spacing w:line="560" w:lineRule="exact"/>
        <w:ind w:firstLine="1280" w:firstLineChars="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体教融合延时班团体课、羽毛球、跆拳道春季班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轮滑、小主持等培训、体教融合延时班团体课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五月：淮安市老年体协系列比赛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体教融合延时班团体课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六月：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淮安市青少儿体育特训营、淮报小记者活动</w:t>
      </w:r>
    </w:p>
    <w:p>
      <w:pPr>
        <w:spacing w:line="560" w:lineRule="exact"/>
        <w:ind w:firstLine="1600" w:firstLineChars="50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体教融合延时班团体课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七月：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淮安市青少儿体育特训营、淮报小记者活动</w:t>
      </w:r>
    </w:p>
    <w:p>
      <w:pPr>
        <w:spacing w:line="560" w:lineRule="exact"/>
        <w:ind w:left="1590" w:leftChars="300" w:hanging="960" w:hangingChars="3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八月：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淮安市青少儿体育特训营、淮安市青少儿体教融合展示会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九月：篮球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羽毛球、体育舞蹈等秋季班培训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体教融合延时班团体课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体教融合延时班团体课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十一月：羽毛球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乒乓球赛事活动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羽毛球、中考体能、体适能培训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全年开展青少年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羽毛球、体适能、中考体育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、篮球、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自由搏击、跆拳道、舞蹈</w:t>
      </w:r>
      <w:r>
        <w:rPr>
          <w:rFonts w:hint="eastAsia" w:ascii="仿宋_GB2312" w:hAnsi="仿宋_GB2312" w:eastAsia="仿宋_GB2312" w:cs="仿宋_GB2312"/>
          <w:sz w:val="32"/>
          <w:szCs w:val="32"/>
        </w:rPr>
        <w:t>等培训。不定期举行免费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户外广场舞、气功等活动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四、群众参加体育赛事和体育活动、接受体育培训、进行日常健身服务情况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（一）室内综合馆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淮安市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全民健身中心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年计划接待来馆锻炼、活动人员不低于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万人次、月均接待不低于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人次、日均接待不低于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（二）室外健身广场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年计划接待锻炼、活动人员不低于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万人次、月均接待不低于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人次、日均接待不低于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五、成本支出情况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年场馆开放成本支出预计最低为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万元，其中水电气热能耗支出最低为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9F639E"/>
    <w:multiLevelType w:val="singleLevel"/>
    <w:tmpl w:val="C79F63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3A77EF"/>
    <w:multiLevelType w:val="singleLevel"/>
    <w:tmpl w:val="DF3A77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A36F94"/>
    <w:multiLevelType w:val="singleLevel"/>
    <w:tmpl w:val="FEA36F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25FA538F"/>
    <w:rsid w:val="3CA51B8B"/>
    <w:rsid w:val="76F6B7F0"/>
    <w:rsid w:val="CFED74A9"/>
    <w:rsid w:val="E27F1572"/>
    <w:rsid w:val="FAE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15</Pages>
  <Words>4003</Words>
  <Characters>4591</Characters>
  <Lines>0</Lines>
  <Paragraphs>0</Paragraphs>
  <TotalTime>9</TotalTime>
  <ScaleCrop>false</ScaleCrop>
  <LinksUpToDate>false</LinksUpToDate>
  <CharactersWithSpaces>4742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2021-05-09T15:28:00Z</dcterms:created>
  <dc:creator>User274</dc:creator>
  <cp:lastModifiedBy>taiji</cp:lastModifiedBy>
  <dcterms:modified xsi:type="dcterms:W3CDTF">2025-02-13T09:27:35Z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F1F0855E3EAFD22298ECA8652179F109</vt:lpwstr>
  </property>
  <property fmtid="{D5CDD505-2E9C-101B-9397-08002B2CF9AE}" pid="4" name="KSOTemplateDocerSaveRecord">
    <vt:lpwstr>eyJoZGlkIjoiYmZmZjY4MzE2NGJiNjc4NGNiZWRiOWY4Y2JiNDQ3NWYiLCJ1c2VySWQiOiIyNzMzMTEzOTAifQ==</vt:lpwstr>
  </property>
</Properties>
</file>